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F1765" w14:textId="77777777" w:rsidR="002148E9" w:rsidRDefault="002148E9">
      <w:pPr>
        <w:jc w:val="center"/>
        <w:rPr>
          <w:sz w:val="28"/>
          <w:szCs w:val="28"/>
        </w:rPr>
      </w:pPr>
    </w:p>
    <w:p w14:paraId="10F1755B" w14:textId="77777777" w:rsidR="002148E9" w:rsidRDefault="002148E9">
      <w:pPr>
        <w:jc w:val="center"/>
        <w:rPr>
          <w:sz w:val="28"/>
          <w:szCs w:val="28"/>
        </w:rPr>
      </w:pPr>
    </w:p>
    <w:p w14:paraId="1A2FDAAF" w14:textId="77777777" w:rsidR="002148E9" w:rsidRDefault="00000000">
      <w:pPr>
        <w:jc w:val="center"/>
        <w:rPr>
          <w:b/>
          <w:bCs/>
          <w:sz w:val="36"/>
          <w:szCs w:val="36"/>
        </w:rPr>
      </w:pPr>
      <w:r>
        <w:rPr>
          <w:b/>
          <w:bCs/>
          <w:sz w:val="36"/>
          <w:szCs w:val="36"/>
        </w:rPr>
        <w:t>Une certaine idée du développement durable en Thiérache</w:t>
      </w:r>
    </w:p>
    <w:p w14:paraId="38E52F03" w14:textId="77777777" w:rsidR="002148E9" w:rsidRDefault="00000000">
      <w:r>
        <w:t xml:space="preserve">La Thiérache possède un immense potentiel naturel et agricole qui pourrait être mieux exploité dans une perspective de développement durable. Il s’agit de réconcilier économie et écologie en misant sur ses bocages, ses savoir-faire locaux et sa proximité avec des pôles urbains dynamiques. Avec une approche bien structurée, le </w:t>
      </w:r>
      <w:r>
        <w:rPr>
          <w:b/>
          <w:bCs/>
        </w:rPr>
        <w:t>Schéma de Cohérence Territoriale (SCoT)</w:t>
      </w:r>
      <w:r>
        <w:t xml:space="preserve"> pourrait faire de la Thiérache un modèle exemplaire de transition écologique et économique pour les territoires ruraux.</w:t>
      </w:r>
    </w:p>
    <w:p w14:paraId="4B494BD9" w14:textId="77777777" w:rsidR="002148E9" w:rsidRDefault="00000000">
      <w:pPr>
        <w:rPr>
          <w:b/>
          <w:bCs/>
          <w:sz w:val="28"/>
          <w:szCs w:val="28"/>
        </w:rPr>
      </w:pPr>
      <w:r>
        <w:rPr>
          <w:b/>
          <w:bCs/>
          <w:sz w:val="28"/>
          <w:szCs w:val="28"/>
        </w:rPr>
        <w:t>Préserver l’identité bocagère : un fil conducteur du développement durable</w:t>
      </w:r>
    </w:p>
    <w:p w14:paraId="55EFA1CB" w14:textId="77777777" w:rsidR="002148E9" w:rsidRDefault="00000000">
      <w:r>
        <w:t xml:space="preserve">Le développement durable en Thiérache repose sur la préservation de son </w:t>
      </w:r>
      <w:r>
        <w:rPr>
          <w:b/>
          <w:bCs/>
        </w:rPr>
        <w:t>identité bocagère</w:t>
      </w:r>
      <w:r>
        <w:t>, qui constitue une grille de lecture cohérente pour aborder les différentes problématiques territoriales.</w:t>
      </w:r>
    </w:p>
    <w:p w14:paraId="651EBA0B" w14:textId="77777777" w:rsidR="002148E9" w:rsidRDefault="00000000">
      <w:r>
        <w:t xml:space="preserve">Depuis les années 1980, le déclin progressif du bocage menace directement la biodiversité et fragilise l’équilibre écologique local. Or, ce patrimoine naturel unique joue un rôle fondamental dans la régulation des écosystèmes. Il est essentiel de reconnaître le lien étroit entre les pratiques agricoles (culture et élevage) et la </w:t>
      </w:r>
      <w:r>
        <w:rPr>
          <w:b/>
          <w:bCs/>
        </w:rPr>
        <w:t>qualité des sols, de l’air et de l’eau</w:t>
      </w:r>
      <w:r>
        <w:t>.</w:t>
      </w:r>
    </w:p>
    <w:p w14:paraId="66D414E8" w14:textId="77777777" w:rsidR="002148E9" w:rsidRDefault="00000000">
      <w:r>
        <w:t>L’</w:t>
      </w:r>
      <w:r>
        <w:rPr>
          <w:b/>
          <w:bCs/>
        </w:rPr>
        <w:t>agroécologie</w:t>
      </w:r>
      <w:r>
        <w:t xml:space="preserve">, la </w:t>
      </w:r>
      <w:r>
        <w:rPr>
          <w:b/>
          <w:bCs/>
        </w:rPr>
        <w:t>protection des haies</w:t>
      </w:r>
      <w:r>
        <w:t>, des prairies et des pâturages constituent des leviers stratégiques pour :</w:t>
      </w:r>
      <w:r>
        <w:br/>
      </w:r>
      <w:r>
        <w:rPr>
          <w:rFonts w:ascii="Segoe UI Symbol" w:hAnsi="Segoe UI Symbol" w:cs="Segoe UI Symbol"/>
        </w:rPr>
        <w:t>✔</w:t>
      </w:r>
      <w:r>
        <w:t xml:space="preserve"> Freiner la r</w:t>
      </w:r>
      <w:r>
        <w:rPr>
          <w:rFonts w:ascii="Calibri" w:hAnsi="Calibri" w:cs="Calibri"/>
        </w:rPr>
        <w:t>é</w:t>
      </w:r>
      <w:r>
        <w:t>gression des ressources naturelles</w:t>
      </w:r>
      <w:r>
        <w:br/>
      </w:r>
      <w:r>
        <w:rPr>
          <w:rFonts w:ascii="Segoe UI Symbol" w:hAnsi="Segoe UI Symbol" w:cs="Segoe UI Symbol"/>
        </w:rPr>
        <w:t>✔</w:t>
      </w:r>
      <w:r>
        <w:t xml:space="preserve"> Prot</w:t>
      </w:r>
      <w:r>
        <w:rPr>
          <w:rFonts w:ascii="Calibri" w:hAnsi="Calibri" w:cs="Calibri"/>
        </w:rPr>
        <w:t>é</w:t>
      </w:r>
      <w:r>
        <w:t>ger les milieux aquatiques</w:t>
      </w:r>
      <w:r>
        <w:br/>
      </w:r>
      <w:r>
        <w:rPr>
          <w:rFonts w:ascii="Segoe UI Symbol" w:hAnsi="Segoe UI Symbol" w:cs="Segoe UI Symbol"/>
        </w:rPr>
        <w:t>✔</w:t>
      </w:r>
      <w:r>
        <w:t xml:space="preserve"> R</w:t>
      </w:r>
      <w:r>
        <w:rPr>
          <w:rFonts w:ascii="Calibri" w:hAnsi="Calibri" w:cs="Calibri"/>
        </w:rPr>
        <w:t>é</w:t>
      </w:r>
      <w:r>
        <w:t>duire l</w:t>
      </w:r>
      <w:r>
        <w:rPr>
          <w:rFonts w:ascii="Calibri" w:hAnsi="Calibri" w:cs="Calibri"/>
        </w:rPr>
        <w:t>’</w:t>
      </w:r>
      <w:r>
        <w:t>empreinte carbone du territoire</w:t>
      </w:r>
    </w:p>
    <w:p w14:paraId="7132EB1C" w14:textId="0DF443A0" w:rsidR="002148E9" w:rsidRDefault="001C3596">
      <w:r>
        <w:rPr>
          <w:noProof/>
        </w:rPr>
      </w:r>
      <w:r>
        <w:pict w14:anchorId="7686579E">
          <v:rect id="_x0000_s1030" style="width:459.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" fillcolor="#a0a0a0" stroked="f" strokeweight="0">
            <w10:anchorlock/>
          </v:rect>
        </w:pict>
      </w:r>
    </w:p>
    <w:p w14:paraId="4972816A" w14:textId="77777777" w:rsidR="002148E9" w:rsidRDefault="00000000">
      <w:pPr>
        <w:rPr>
          <w:b/>
          <w:bCs/>
          <w:sz w:val="28"/>
          <w:szCs w:val="28"/>
        </w:rPr>
      </w:pPr>
      <w:r>
        <w:rPr>
          <w:b/>
          <w:bCs/>
          <w:sz w:val="28"/>
          <w:szCs w:val="28"/>
        </w:rPr>
        <w:t>Pourquoi la Thiérache offre-t-elle un cadre idéal pour une transition écologique réussie ?</w:t>
      </w:r>
    </w:p>
    <w:p w14:paraId="48DB9D3E" w14:textId="77777777" w:rsidR="002148E9" w:rsidRDefault="00000000">
      <w:r>
        <w:rPr>
          <w:rFonts w:ascii="Segoe UI Symbol" w:hAnsi="Segoe UI Symbol" w:cs="Segoe UI Symbol"/>
        </w:rPr>
        <w:t>✔</w:t>
      </w:r>
      <w:r>
        <w:t xml:space="preserve"> </w:t>
      </w:r>
      <w:r>
        <w:rPr>
          <w:b/>
          <w:bCs/>
        </w:rPr>
        <w:t>Un patrimoine naturel exceptionnel</w:t>
      </w:r>
      <w:r>
        <w:t xml:space="preserve"> : bocages, forêts, rivières (Oise, Ton, Serre), prairies humides… Ces écosystèmes fournissent des services précieux : régulation de l’eau, biodiversité, pollinisation.</w:t>
      </w:r>
    </w:p>
    <w:p w14:paraId="2C2C3648" w14:textId="696EAE28" w:rsidR="002148E9" w:rsidRDefault="00000000">
      <w:r>
        <w:rPr>
          <w:rFonts w:ascii="Segoe UI Symbol" w:hAnsi="Segoe UI Symbol" w:cs="Segoe UI Symbol"/>
        </w:rPr>
        <w:t>✔</w:t>
      </w:r>
      <w:r>
        <w:t xml:space="preserve"> </w:t>
      </w:r>
      <w:r>
        <w:rPr>
          <w:b/>
          <w:bCs/>
        </w:rPr>
        <w:t>Une identité rurale forte</w:t>
      </w:r>
      <w:r>
        <w:t xml:space="preserve"> : une tradition d’élevage laitier, la production du </w:t>
      </w:r>
      <w:r>
        <w:rPr>
          <w:b/>
          <w:bCs/>
        </w:rPr>
        <w:t>Maroilles AOP</w:t>
      </w:r>
      <w:r>
        <w:t xml:space="preserve">, </w:t>
      </w:r>
      <w:r w:rsidR="001C3596">
        <w:t xml:space="preserve">une agriculture performante, </w:t>
      </w:r>
      <w:r>
        <w:t>des paysages bocagers à valoriser.</w:t>
      </w:r>
    </w:p>
    <w:p w14:paraId="372B2B11" w14:textId="77777777" w:rsidR="002148E9" w:rsidRDefault="00000000">
      <w:r>
        <w:rPr>
          <w:rFonts w:ascii="Segoe UI Symbol" w:hAnsi="Segoe UI Symbol" w:cs="Segoe UI Symbol"/>
        </w:rPr>
        <w:t>✔</w:t>
      </w:r>
      <w:r>
        <w:t xml:space="preserve"> </w:t>
      </w:r>
      <w:r>
        <w:rPr>
          <w:b/>
          <w:bCs/>
        </w:rPr>
        <w:t>Des défis économiques à relever</w:t>
      </w:r>
      <w:r>
        <w:t xml:space="preserve"> : vieillissement de la population, manque d’emplois, déclin industriel et agricole (rentabilité des exploitations, difficultés de transmission du foncier). Un modèle économique fondé sur la </w:t>
      </w:r>
      <w:r>
        <w:rPr>
          <w:b/>
          <w:bCs/>
        </w:rPr>
        <w:t>valorisation de la nature</w:t>
      </w:r>
      <w:r>
        <w:t xml:space="preserve"> pourrait redynamiser le territoire.</w:t>
      </w:r>
    </w:p>
    <w:p w14:paraId="0E200CE3" w14:textId="77777777" w:rsidR="002148E9" w:rsidRDefault="00000000">
      <w:r>
        <w:rPr>
          <w:rFonts w:ascii="Segoe UI Symbol" w:hAnsi="Segoe UI Symbol" w:cs="Segoe UI Symbol"/>
        </w:rPr>
        <w:t>✔</w:t>
      </w:r>
      <w:r>
        <w:t xml:space="preserve"> </w:t>
      </w:r>
      <w:r>
        <w:rPr>
          <w:b/>
          <w:bCs/>
        </w:rPr>
        <w:t>Une proximité stratégique avec des zones urbaines</w:t>
      </w:r>
      <w:r>
        <w:t xml:space="preserve"> : potentiel pour attirer un </w:t>
      </w:r>
      <w:r>
        <w:rPr>
          <w:b/>
          <w:bCs/>
        </w:rPr>
        <w:t>écotourisme de proximité</w:t>
      </w:r>
      <w:r>
        <w:t xml:space="preserve"> (Lille, Reims, Bruxelles, Paris) et un </w:t>
      </w:r>
      <w:r>
        <w:rPr>
          <w:b/>
          <w:bCs/>
        </w:rPr>
        <w:t>tourisme résidentiel</w:t>
      </w:r>
      <w:r>
        <w:t xml:space="preserve"> (Pays-Bas, Belgique…).</w:t>
      </w:r>
    </w:p>
    <w:p w14:paraId="7E9B0E8B" w14:textId="3EB062C9" w:rsidR="002148E9" w:rsidRDefault="001C3596">
      <w:r>
        <w:rPr>
          <w:noProof/>
        </w:rPr>
      </w:r>
      <w:r>
        <w:pict w14:anchorId="5BC49502">
          <v:rect id="_x0000_s1029" style="width:459.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" fillcolor="#a0a0a0" stroked="f" strokeweight="0">
            <w10:anchorlock/>
          </v:rect>
        </w:pict>
      </w:r>
    </w:p>
    <w:p w14:paraId="1D89DF89" w14:textId="77777777" w:rsidR="002148E9" w:rsidRDefault="00000000">
      <w:pPr>
        <w:rPr>
          <w:b/>
          <w:bCs/>
          <w:sz w:val="28"/>
          <w:szCs w:val="28"/>
        </w:rPr>
      </w:pPr>
      <w:r>
        <w:rPr>
          <w:b/>
          <w:bCs/>
          <w:sz w:val="28"/>
          <w:szCs w:val="28"/>
        </w:rPr>
        <w:lastRenderedPageBreak/>
        <w:t>Les pistes concrètes pour un développement durable en Thiérache</w:t>
      </w:r>
    </w:p>
    <w:p w14:paraId="4D515A1E" w14:textId="77777777" w:rsidR="002148E9" w:rsidRDefault="00000000">
      <w:pPr>
        <w:rPr>
          <w:b/>
          <w:bCs/>
        </w:rPr>
      </w:pPr>
      <w:r>
        <w:rPr>
          <w:b/>
          <w:bCs/>
        </w:rPr>
        <w:t>1. Agriculture et foresterie durables</w:t>
      </w:r>
    </w:p>
    <w:p w14:paraId="44FB1873" w14:textId="77777777" w:rsidR="002148E9" w:rsidRDefault="00000000">
      <w:r>
        <w:rPr>
          <w:rFonts w:ascii="Segoe UI Symbol" w:hAnsi="Segoe UI Symbol" w:cs="Segoe UI Symbol"/>
        </w:rPr>
        <w:t>✔</w:t>
      </w:r>
      <w:r>
        <w:t xml:space="preserve"> Promouvoir </w:t>
      </w:r>
      <w:r>
        <w:rPr>
          <w:b/>
          <w:bCs/>
        </w:rPr>
        <w:t>l’agroécologie</w:t>
      </w:r>
      <w:r>
        <w:t xml:space="preserve"> et </w:t>
      </w:r>
      <w:r>
        <w:rPr>
          <w:b/>
          <w:bCs/>
        </w:rPr>
        <w:t>l’agroforesterie</w:t>
      </w:r>
      <w:r>
        <w:t xml:space="preserve"> pour restaurer le bocage et améliorer la fertilité des sols.</w:t>
      </w:r>
      <w:r>
        <w:br/>
      </w:r>
      <w:r>
        <w:rPr>
          <w:rFonts w:ascii="Segoe UI Symbol" w:hAnsi="Segoe UI Symbol" w:cs="Segoe UI Symbol"/>
        </w:rPr>
        <w:t>✔</w:t>
      </w:r>
      <w:r>
        <w:t xml:space="preserve"> D</w:t>
      </w:r>
      <w:r>
        <w:rPr>
          <w:rFonts w:ascii="Calibri" w:hAnsi="Calibri" w:cs="Calibri"/>
        </w:rPr>
        <w:t>é</w:t>
      </w:r>
      <w:r>
        <w:t xml:space="preserve">velopper </w:t>
      </w:r>
      <w:r>
        <w:rPr>
          <w:b/>
          <w:bCs/>
        </w:rPr>
        <w:t>les circuits courts</w:t>
      </w:r>
      <w:r>
        <w:t xml:space="preserve"> et les </w:t>
      </w:r>
      <w:r>
        <w:rPr>
          <w:b/>
          <w:bCs/>
        </w:rPr>
        <w:t>filières bio</w:t>
      </w:r>
      <w:r>
        <w:t xml:space="preserve"> autour du maraîchage, des cultures locales et des nouvelles productions.</w:t>
      </w:r>
      <w:r>
        <w:br/>
      </w:r>
      <w:r>
        <w:rPr>
          <w:rFonts w:ascii="Segoe UI Symbol" w:hAnsi="Segoe UI Symbol" w:cs="Segoe UI Symbol"/>
        </w:rPr>
        <w:t>✔</w:t>
      </w:r>
      <w:r>
        <w:t xml:space="preserve"> Encourager l</w:t>
      </w:r>
      <w:r>
        <w:rPr>
          <w:rFonts w:ascii="Calibri" w:hAnsi="Calibri" w:cs="Calibri"/>
        </w:rPr>
        <w:t>’</w:t>
      </w:r>
      <w:r>
        <w:rPr>
          <w:b/>
          <w:bCs/>
        </w:rPr>
        <w:t>élevage extensif</w:t>
      </w:r>
      <w:r>
        <w:t>, qui préserve la biodiversité, et valoriser les haies comme refuges pour la faune et barrières naturelles.</w:t>
      </w:r>
    </w:p>
    <w:p w14:paraId="6FE5CEAA" w14:textId="77777777" w:rsidR="002148E9" w:rsidRDefault="00000000">
      <w:pPr>
        <w:rPr>
          <w:b/>
          <w:bCs/>
        </w:rPr>
      </w:pPr>
      <w:r>
        <w:rPr>
          <w:b/>
          <w:bCs/>
        </w:rPr>
        <w:t>2. Écotourisme et slow tourisme</w:t>
      </w:r>
    </w:p>
    <w:p w14:paraId="5E363642" w14:textId="103D2335" w:rsidR="002148E9" w:rsidRDefault="00000000">
      <w:r>
        <w:rPr>
          <w:rFonts w:ascii="Segoe UI Symbol" w:hAnsi="Segoe UI Symbol" w:cs="Segoe UI Symbol"/>
        </w:rPr>
        <w:t>✔</w:t>
      </w:r>
      <w:r>
        <w:t xml:space="preserve"> Création de </w:t>
      </w:r>
      <w:r>
        <w:rPr>
          <w:b/>
          <w:bCs/>
        </w:rPr>
        <w:t>randonnées immersives</w:t>
      </w:r>
      <w:r>
        <w:t xml:space="preserve"> (bains de forêt, sentiers thématiques sur la faune et la flore, circuits éducatifs sur le bocage).</w:t>
      </w:r>
      <w:r>
        <w:br/>
      </w:r>
      <w:r>
        <w:rPr>
          <w:rFonts w:ascii="Segoe UI Symbol" w:hAnsi="Segoe UI Symbol" w:cs="Segoe UI Symbol"/>
        </w:rPr>
        <w:t>✔</w:t>
      </w:r>
      <w:r>
        <w:t xml:space="preserve"> Mise en valeur des </w:t>
      </w:r>
      <w:r>
        <w:rPr>
          <w:b/>
          <w:bCs/>
        </w:rPr>
        <w:t>églises fortifiées</w:t>
      </w:r>
      <w:r>
        <w:t xml:space="preserve"> et du patrimoine rural à travers des parcours alliant nature et culture.</w:t>
      </w:r>
      <w:r>
        <w:br/>
      </w:r>
      <w:r>
        <w:rPr>
          <w:rFonts w:ascii="Segoe UI Symbol" w:hAnsi="Segoe UI Symbol" w:cs="Segoe UI Symbol"/>
        </w:rPr>
        <w:t>✔</w:t>
      </w:r>
      <w:r>
        <w:t xml:space="preserve"> D</w:t>
      </w:r>
      <w:r>
        <w:rPr>
          <w:rFonts w:ascii="Calibri" w:hAnsi="Calibri" w:cs="Calibri"/>
        </w:rPr>
        <w:t>é</w:t>
      </w:r>
      <w:r>
        <w:t>veloppement d</w:t>
      </w:r>
      <w:r>
        <w:rPr>
          <w:rFonts w:ascii="Calibri" w:hAnsi="Calibri" w:cs="Calibri"/>
        </w:rPr>
        <w:t>’</w:t>
      </w:r>
      <w:r>
        <w:rPr>
          <w:b/>
          <w:bCs/>
        </w:rPr>
        <w:t>hébergements écoresponsables</w:t>
      </w:r>
      <w:r>
        <w:t xml:space="preserve"> (écolodges, fermes-auberges, séjours en immersion </w:t>
      </w:r>
      <w:r w:rsidR="001C3596">
        <w:t>au</w:t>
      </w:r>
      <w:r>
        <w:t>près des producteurs).</w:t>
      </w:r>
    </w:p>
    <w:p w14:paraId="60CC6E65" w14:textId="77777777" w:rsidR="002148E9" w:rsidRDefault="00000000">
      <w:pPr>
        <w:rPr>
          <w:b/>
          <w:bCs/>
        </w:rPr>
      </w:pPr>
      <w:r>
        <w:rPr>
          <w:b/>
          <w:bCs/>
        </w:rPr>
        <w:t>3. Gestion des ressources naturelles et restauration des milieux</w:t>
      </w:r>
    </w:p>
    <w:p w14:paraId="1DB41287" w14:textId="26EC7669" w:rsidR="002148E9" w:rsidRDefault="00000000">
      <w:r>
        <w:rPr>
          <w:rFonts w:ascii="Segoe UI Symbol" w:hAnsi="Segoe UI Symbol" w:cs="Segoe UI Symbol"/>
        </w:rPr>
        <w:t>✔</w:t>
      </w:r>
      <w:r>
        <w:t xml:space="preserve"> Protection et </w:t>
      </w:r>
      <w:r>
        <w:rPr>
          <w:b/>
          <w:bCs/>
        </w:rPr>
        <w:t>restauration des zones humides</w:t>
      </w:r>
      <w:r w:rsidR="001C3596">
        <w:rPr>
          <w:b/>
          <w:bCs/>
        </w:rPr>
        <w:t>, des mares</w:t>
      </w:r>
      <w:r>
        <w:t xml:space="preserve"> pour améliorer la qualité de l’eau et favoriser la biodiversité.</w:t>
      </w:r>
      <w:r>
        <w:br/>
      </w:r>
      <w:r>
        <w:rPr>
          <w:rFonts w:ascii="Segoe UI Symbol" w:hAnsi="Segoe UI Symbol" w:cs="Segoe UI Symbol"/>
        </w:rPr>
        <w:t>✔</w:t>
      </w:r>
      <w:r>
        <w:t xml:space="preserve"> D</w:t>
      </w:r>
      <w:r>
        <w:rPr>
          <w:rFonts w:ascii="Calibri" w:hAnsi="Calibri" w:cs="Calibri"/>
        </w:rPr>
        <w:t>é</w:t>
      </w:r>
      <w:r>
        <w:t>veloppement d</w:t>
      </w:r>
      <w:r>
        <w:rPr>
          <w:rFonts w:ascii="Calibri" w:hAnsi="Calibri" w:cs="Calibri"/>
        </w:rPr>
        <w:t>’</w:t>
      </w:r>
      <w:r>
        <w:t xml:space="preserve">une </w:t>
      </w:r>
      <w:r>
        <w:rPr>
          <w:b/>
          <w:bCs/>
        </w:rPr>
        <w:t>filière locale de bois-énergie</w:t>
      </w:r>
      <w:r>
        <w:t xml:space="preserve"> et valorisation du bocage pour la production de biomasse.</w:t>
      </w:r>
      <w:r>
        <w:br/>
      </w:r>
      <w:r>
        <w:rPr>
          <w:rFonts w:ascii="Segoe UI Symbol" w:hAnsi="Segoe UI Symbol" w:cs="Segoe UI Symbol"/>
        </w:rPr>
        <w:t>✔</w:t>
      </w:r>
      <w:r>
        <w:t xml:space="preserve"> Lutte contre l</w:t>
      </w:r>
      <w:r>
        <w:rPr>
          <w:rFonts w:ascii="Calibri" w:hAnsi="Calibri" w:cs="Calibri"/>
        </w:rPr>
        <w:t>’</w:t>
      </w:r>
      <w:r>
        <w:rPr>
          <w:b/>
          <w:bCs/>
        </w:rPr>
        <w:t>érosion des sols</w:t>
      </w:r>
      <w:r>
        <w:t xml:space="preserve"> par le renforcement du maillage bocager et la replantation de haies.</w:t>
      </w:r>
    </w:p>
    <w:p w14:paraId="203785DC" w14:textId="77777777" w:rsidR="002148E9" w:rsidRDefault="00000000">
      <w:pPr>
        <w:rPr>
          <w:b/>
          <w:bCs/>
        </w:rPr>
      </w:pPr>
      <w:r>
        <w:rPr>
          <w:b/>
          <w:bCs/>
        </w:rPr>
        <w:t>4. Valorisation des services écosystémiques</w:t>
      </w:r>
    </w:p>
    <w:p w14:paraId="0D1700F9" w14:textId="72B38D83" w:rsidR="002148E9" w:rsidRDefault="00000000">
      <w:r>
        <w:rPr>
          <w:rFonts w:ascii="Segoe UI Symbol" w:hAnsi="Segoe UI Symbol" w:cs="Segoe UI Symbol"/>
        </w:rPr>
        <w:t>✔</w:t>
      </w:r>
      <w:r>
        <w:t xml:space="preserve"> Mise en place de </w:t>
      </w:r>
      <w:r>
        <w:rPr>
          <w:b/>
          <w:bCs/>
        </w:rPr>
        <w:t>paiements pour services écosystémiques (PSE)</w:t>
      </w:r>
      <w:r>
        <w:t xml:space="preserve"> afin de rémunérer les agriculteurs qui préservent les haies, protègent l’eau et favorisent la biodiversité.</w:t>
      </w:r>
      <w:r>
        <w:br/>
      </w:r>
      <w:r>
        <w:rPr>
          <w:rFonts w:ascii="Segoe UI Symbol" w:hAnsi="Segoe UI Symbol" w:cs="Segoe UI Symbol"/>
        </w:rPr>
        <w:t>✔</w:t>
      </w:r>
      <w:r>
        <w:t xml:space="preserve"> Cr</w:t>
      </w:r>
      <w:r>
        <w:rPr>
          <w:rFonts w:ascii="Calibri" w:hAnsi="Calibri" w:cs="Calibri"/>
        </w:rPr>
        <w:t>é</w:t>
      </w:r>
      <w:r>
        <w:t xml:space="preserve">ation de </w:t>
      </w:r>
      <w:r>
        <w:rPr>
          <w:b/>
          <w:bCs/>
        </w:rPr>
        <w:t>projets de compensation carbone</w:t>
      </w:r>
      <w:r>
        <w:t xml:space="preserve"> locaux (ex. : entreprises finançant la reforestation du bocage).</w:t>
      </w:r>
      <w:r>
        <w:br/>
      </w:r>
      <w:r>
        <w:rPr>
          <w:rFonts w:ascii="Segoe UI Symbol" w:hAnsi="Segoe UI Symbol" w:cs="Segoe UI Symbol"/>
        </w:rPr>
        <w:t>✔</w:t>
      </w:r>
      <w:r>
        <w:t xml:space="preserve"> D</w:t>
      </w:r>
      <w:r>
        <w:rPr>
          <w:rFonts w:ascii="Calibri" w:hAnsi="Calibri" w:cs="Calibri"/>
        </w:rPr>
        <w:t>é</w:t>
      </w:r>
      <w:r>
        <w:t xml:space="preserve">veloppement </w:t>
      </w:r>
      <w:r w:rsidR="001C3596">
        <w:t>d</w:t>
      </w:r>
      <w:r>
        <w:t xml:space="preserve">e </w:t>
      </w:r>
      <w:r>
        <w:rPr>
          <w:b/>
          <w:bCs/>
        </w:rPr>
        <w:t>marque</w:t>
      </w:r>
      <w:r w:rsidR="001C3596">
        <w:rPr>
          <w:b/>
          <w:bCs/>
        </w:rPr>
        <w:t>s</w:t>
      </w:r>
      <w:r>
        <w:rPr>
          <w:b/>
          <w:bCs/>
        </w:rPr>
        <w:t xml:space="preserve"> locale</w:t>
      </w:r>
      <w:r w:rsidR="001C3596">
        <w:rPr>
          <w:b/>
          <w:bCs/>
        </w:rPr>
        <w:t>s</w:t>
      </w:r>
      <w:r>
        <w:t xml:space="preserve"> valorisant les produits et services issus de la nature</w:t>
      </w:r>
      <w:r w:rsidR="001C3596">
        <w:t xml:space="preserve"> label cidre de Thiérache, viande à l’herbe..)</w:t>
      </w:r>
    </w:p>
    <w:p w14:paraId="468CFED6" w14:textId="220CC0A9" w:rsidR="002148E9" w:rsidRDefault="001C3596">
      <w:r>
        <w:rPr>
          <w:noProof/>
        </w:rPr>
      </w:r>
      <w:r>
        <w:pict w14:anchorId="588CCB7F">
          <v:rect id="_x0000_s1028" style="width:459.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" fillcolor="#a0a0a0" stroked="f" strokeweight="0">
            <w10:anchorlock/>
          </v:rect>
        </w:pict>
      </w:r>
    </w:p>
    <w:p w14:paraId="2A19424B" w14:textId="77777777" w:rsidR="002148E9" w:rsidRDefault="00000000">
      <w:pPr>
        <w:rPr>
          <w:b/>
          <w:bCs/>
          <w:sz w:val="28"/>
          <w:szCs w:val="28"/>
        </w:rPr>
      </w:pPr>
      <w:r>
        <w:rPr>
          <w:b/>
          <w:bCs/>
          <w:sz w:val="28"/>
          <w:szCs w:val="28"/>
        </w:rPr>
        <w:t>Les grands enjeux : climat et biodiversité</w:t>
      </w:r>
    </w:p>
    <w:p w14:paraId="2610F5F7" w14:textId="77777777" w:rsidR="002148E9" w:rsidRDefault="00000000">
      <w:r>
        <w:t xml:space="preserve">Deux urgences majeures, </w:t>
      </w:r>
      <w:r>
        <w:rPr>
          <w:b/>
          <w:bCs/>
        </w:rPr>
        <w:t>le changement climatique et l’effondrement de la biodiversité</w:t>
      </w:r>
      <w:r>
        <w:t xml:space="preserve">, menacent directement notre avenir. La préservation des écosystèmes est </w:t>
      </w:r>
      <w:r>
        <w:rPr>
          <w:b/>
          <w:bCs/>
        </w:rPr>
        <w:t>indissociable</w:t>
      </w:r>
      <w:r>
        <w:t xml:space="preserve"> de la lutte contre le réchauffement climatique.</w:t>
      </w:r>
    </w:p>
    <w:p w14:paraId="73B8B97A" w14:textId="77777777" w:rsidR="002148E9" w:rsidRDefault="00000000">
      <w:r>
        <w:t xml:space="preserve">Si la réduction des </w:t>
      </w:r>
      <w:r>
        <w:rPr>
          <w:b/>
          <w:bCs/>
        </w:rPr>
        <w:t>émissions de gaz à effet de serre (GES)</w:t>
      </w:r>
      <w:r>
        <w:t xml:space="preserve"> est une priorité, elle ne doit pas se faire au détriment de la biodiversité. Or, la principale cause du déclin des espèces reste aujourd’hui le </w:t>
      </w:r>
      <w:r>
        <w:rPr>
          <w:b/>
          <w:bCs/>
        </w:rPr>
        <w:t>changement d’usage des terres</w:t>
      </w:r>
      <w:r>
        <w:t>.</w:t>
      </w:r>
    </w:p>
    <w:p w14:paraId="10B078BB" w14:textId="77777777" w:rsidR="002148E9" w:rsidRDefault="00000000">
      <w:pPr>
        <w:rPr>
          <w:b/>
          <w:bCs/>
        </w:rPr>
      </w:pPr>
      <w:r>
        <w:rPr>
          <w:b/>
          <w:bCs/>
        </w:rPr>
        <w:t>Vers une économie verte et durable</w:t>
      </w:r>
    </w:p>
    <w:p w14:paraId="5D1457B4" w14:textId="77777777" w:rsidR="002148E9" w:rsidRDefault="00000000">
      <w:r>
        <w:lastRenderedPageBreak/>
        <w:t xml:space="preserve">Il est indispensable d’intégrer les enjeux écologiques dans les </w:t>
      </w:r>
      <w:r>
        <w:rPr>
          <w:b/>
          <w:bCs/>
        </w:rPr>
        <w:t>politiques d’aménagement du territoire</w:t>
      </w:r>
      <w:r>
        <w:t xml:space="preserve"> et le </w:t>
      </w:r>
      <w:r>
        <w:rPr>
          <w:b/>
          <w:bCs/>
        </w:rPr>
        <w:t>modèle économique</w:t>
      </w:r>
      <w:r>
        <w:t xml:space="preserve">. En Thiérache, les </w:t>
      </w:r>
      <w:r>
        <w:rPr>
          <w:b/>
          <w:bCs/>
        </w:rPr>
        <w:t>services écosystémiques</w:t>
      </w:r>
      <w:r>
        <w:t xml:space="preserve"> (pollinisation, régulation de l’eau, stockage du carbone) restent sous-évalués alors qu’ils constituent une richesse environnementale, économique et sociale.</w:t>
      </w:r>
    </w:p>
    <w:p w14:paraId="70756FF3" w14:textId="77777777" w:rsidR="002148E9" w:rsidRDefault="00000000">
      <w:r>
        <w:t>L’</w:t>
      </w:r>
      <w:r>
        <w:rPr>
          <w:b/>
          <w:bCs/>
        </w:rPr>
        <w:t>économie verte</w:t>
      </w:r>
      <w:r>
        <w:t xml:space="preserve"> peut devenir un levier clé du développement durable de la Thiérache, en conciliant performance économique et respect de l’environnement. Une approche systémique, intégrant les secteurs de l’</w:t>
      </w:r>
      <w:r>
        <w:rPr>
          <w:b/>
          <w:bCs/>
        </w:rPr>
        <w:t>énergie, de l’agriculture, des transports et du bâti</w:t>
      </w:r>
      <w:r>
        <w:t>, permettrait de structurer durablement le territoire.</w:t>
      </w:r>
    </w:p>
    <w:p w14:paraId="6454BC21" w14:textId="77777777" w:rsidR="002148E9" w:rsidRDefault="00000000">
      <w:pPr>
        <w:rPr>
          <w:b/>
          <w:bCs/>
        </w:rPr>
      </w:pPr>
      <w:r>
        <w:rPr>
          <w:b/>
          <w:bCs/>
        </w:rPr>
        <w:t>Le bocage, un atout pour une transition écologique réussie</w:t>
      </w:r>
    </w:p>
    <w:p w14:paraId="21C22BC3" w14:textId="079A2A69" w:rsidR="002148E9" w:rsidRDefault="00000000">
      <w:r>
        <w:rPr>
          <w:rFonts w:ascii="Segoe UI Symbol" w:hAnsi="Segoe UI Symbol" w:cs="Segoe UI Symbol"/>
        </w:rPr>
        <w:t>✔</w:t>
      </w:r>
      <w:r>
        <w:t xml:space="preserve"> Préservation de la biodiversité</w:t>
      </w:r>
      <w:r>
        <w:br/>
      </w:r>
      <w:r>
        <w:rPr>
          <w:rFonts w:ascii="Segoe UI Symbol" w:hAnsi="Segoe UI Symbol" w:cs="Segoe UI Symbol"/>
        </w:rPr>
        <w:t>✔</w:t>
      </w:r>
      <w:r>
        <w:t xml:space="preserve"> Production d</w:t>
      </w:r>
      <w:r>
        <w:rPr>
          <w:rFonts w:ascii="Calibri" w:hAnsi="Calibri" w:cs="Calibri"/>
        </w:rPr>
        <w:t>’é</w:t>
      </w:r>
      <w:r>
        <w:t>nergie durable</w:t>
      </w:r>
      <w:r w:rsidR="001C3596">
        <w:t xml:space="preserve"> (bois énergie, biomasse)</w:t>
      </w:r>
      <w:r>
        <w:br/>
      </w:r>
      <w:r>
        <w:rPr>
          <w:rFonts w:ascii="Segoe UI Symbol" w:hAnsi="Segoe UI Symbol" w:cs="Segoe UI Symbol"/>
        </w:rPr>
        <w:t>✔</w:t>
      </w:r>
      <w:r>
        <w:t xml:space="preserve"> Protection des paysages et des ressources naturelles</w:t>
      </w:r>
    </w:p>
    <w:p w14:paraId="31158F4A" w14:textId="77777777" w:rsidR="002148E9" w:rsidRDefault="00000000">
      <w:r>
        <w:t xml:space="preserve">Dans ce contexte, la Thiérache pourrait devenir </w:t>
      </w:r>
      <w:r>
        <w:rPr>
          <w:b/>
          <w:bCs/>
        </w:rPr>
        <w:t>un modèle de résilience et d’innovation</w:t>
      </w:r>
      <w:r>
        <w:t xml:space="preserve"> en matière de développement rural durable.</w:t>
      </w:r>
    </w:p>
    <w:p w14:paraId="2326CD3F" w14:textId="20A04006" w:rsidR="002148E9" w:rsidRDefault="001C3596">
      <w:r>
        <w:rPr>
          <w:noProof/>
        </w:rPr>
      </w:r>
      <w:r>
        <w:pict w14:anchorId="31E82B8B">
          <v:rect id="_x0000_s1027" style="width:459.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" fillcolor="#a0a0a0" stroked="f" strokeweight="0">
            <w10:anchorlock/>
          </v:rect>
        </w:pict>
      </w:r>
    </w:p>
    <w:p w14:paraId="229CA8AE" w14:textId="77777777" w:rsidR="002148E9" w:rsidRDefault="00000000">
      <w:pPr>
        <w:rPr>
          <w:b/>
          <w:bCs/>
        </w:rPr>
      </w:pPr>
      <w:r>
        <w:rPr>
          <w:b/>
          <w:bCs/>
        </w:rPr>
        <w:t>L’agriculture et la transition énergétique : une synergie à renforcer</w:t>
      </w:r>
    </w:p>
    <w:p w14:paraId="6EFFD6ED" w14:textId="77777777" w:rsidR="002148E9" w:rsidRDefault="00000000">
      <w:r>
        <w:t xml:space="preserve">La transition écologique en France vise à réduire les </w:t>
      </w:r>
      <w:r>
        <w:rPr>
          <w:b/>
          <w:bCs/>
        </w:rPr>
        <w:t>émissions de GES de 3 % par an</w:t>
      </w:r>
      <w:r>
        <w:t>, sachant que l’</w:t>
      </w:r>
      <w:r>
        <w:rPr>
          <w:b/>
          <w:bCs/>
        </w:rPr>
        <w:t>agriculture représente 19 % des émissions totales</w:t>
      </w:r>
      <w:r>
        <w:t>.</w:t>
      </w:r>
    </w:p>
    <w:p w14:paraId="67E53962" w14:textId="360C6616" w:rsidR="002148E9" w:rsidRDefault="00000000">
      <w:r>
        <w:t xml:space="preserve">La </w:t>
      </w:r>
      <w:r>
        <w:rPr>
          <w:b/>
          <w:bCs/>
        </w:rPr>
        <w:t>méthanisation agricole</w:t>
      </w:r>
      <w:r>
        <w:t xml:space="preserve"> constitue un levier pour atteindre cet objectif. Toutefois, pour réussir cette transition, il est essentiel de développer des </w:t>
      </w:r>
      <w:r>
        <w:rPr>
          <w:b/>
          <w:bCs/>
        </w:rPr>
        <w:t>systèmes agricoles durables</w:t>
      </w:r>
      <w:r>
        <w:t>, respectueux des ressources naturelles et complémentaires à la production alimentaire.</w:t>
      </w:r>
    </w:p>
    <w:p w14:paraId="5FD74508" w14:textId="77777777" w:rsidR="002148E9" w:rsidRDefault="00000000">
      <w:pPr>
        <w:rPr>
          <w:b/>
          <w:bCs/>
        </w:rPr>
      </w:pPr>
      <w:r>
        <w:rPr>
          <w:b/>
          <w:bCs/>
        </w:rPr>
        <w:t>Focus sur la méthanisation en Thiérache</w:t>
      </w:r>
    </w:p>
    <w:p w14:paraId="60803B57" w14:textId="77777777" w:rsidR="002148E9" w:rsidRDefault="00000000">
      <w:r>
        <w:rPr>
          <w:rFonts w:ascii="Segoe UI Symbol" w:hAnsi="Segoe UI Symbol" w:cs="Segoe UI Symbol"/>
        </w:rPr>
        <w:t>✔</w:t>
      </w:r>
      <w:r>
        <w:t xml:space="preserve"> Évaluer les </w:t>
      </w:r>
      <w:r>
        <w:rPr>
          <w:b/>
          <w:bCs/>
        </w:rPr>
        <w:t>impacts environnementaux et agronomiques</w:t>
      </w:r>
      <w:r>
        <w:t xml:space="preserve"> des projets</w:t>
      </w:r>
      <w:r>
        <w:br/>
      </w:r>
      <w:r>
        <w:rPr>
          <w:rFonts w:ascii="Segoe UI Symbol" w:hAnsi="Segoe UI Symbol" w:cs="Segoe UI Symbol"/>
        </w:rPr>
        <w:t>✔</w:t>
      </w:r>
      <w:r>
        <w:t xml:space="preserve"> Analyser leur </w:t>
      </w:r>
      <w:r>
        <w:rPr>
          <w:b/>
          <w:bCs/>
        </w:rPr>
        <w:t>bilan carbone</w:t>
      </w:r>
      <w:r>
        <w:t xml:space="preserve"> et leurs effets sur la fertilité des sols</w:t>
      </w:r>
      <w:r>
        <w:br/>
      </w:r>
      <w:r>
        <w:rPr>
          <w:rFonts w:ascii="Segoe UI Symbol" w:hAnsi="Segoe UI Symbol" w:cs="Segoe UI Symbol"/>
        </w:rPr>
        <w:t>✔</w:t>
      </w:r>
      <w:r>
        <w:t xml:space="preserve"> Favoriser une </w:t>
      </w:r>
      <w:r>
        <w:rPr>
          <w:b/>
          <w:bCs/>
        </w:rPr>
        <w:t>concertation locale</w:t>
      </w:r>
      <w:r>
        <w:t xml:space="preserve"> pour assurer l’acceptabilité sociale des installations</w:t>
      </w:r>
    </w:p>
    <w:p w14:paraId="327166FA" w14:textId="77777777" w:rsidR="002148E9" w:rsidRDefault="00000000">
      <w:r>
        <w:t xml:space="preserve">L’acceptabilité des projets repose sur une </w:t>
      </w:r>
      <w:r>
        <w:rPr>
          <w:b/>
          <w:bCs/>
        </w:rPr>
        <w:t>co-construction avec les acteurs locaux</w:t>
      </w:r>
      <w:r>
        <w:t xml:space="preserve">, garantissant une </w:t>
      </w:r>
      <w:r>
        <w:rPr>
          <w:b/>
          <w:bCs/>
        </w:rPr>
        <w:t>bonne compréhension des enjeux</w:t>
      </w:r>
      <w:r>
        <w:t xml:space="preserve"> et une adhésion collective.</w:t>
      </w:r>
    </w:p>
    <w:p w14:paraId="43884DA7" w14:textId="35870754" w:rsidR="002148E9" w:rsidRDefault="001C3596">
      <w:r>
        <w:rPr>
          <w:noProof/>
        </w:rPr>
      </w:r>
      <w:r>
        <w:pict w14:anchorId="5FDC3620">
          <v:rect id="_x0000_s1026" style="width:459.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" fillcolor="#a0a0a0" stroked="f" strokeweight="0">
            <w10:anchorlock/>
          </v:rect>
        </w:pict>
      </w:r>
    </w:p>
    <w:p w14:paraId="5F17C86C" w14:textId="77777777" w:rsidR="002148E9" w:rsidRDefault="00000000">
      <w:pPr>
        <w:rPr>
          <w:b/>
          <w:bCs/>
        </w:rPr>
      </w:pPr>
      <w:r>
        <w:rPr>
          <w:b/>
          <w:bCs/>
        </w:rPr>
        <w:t>Conclusion : vers un avenir durable et résilient</w:t>
      </w:r>
    </w:p>
    <w:p w14:paraId="2E70BF63" w14:textId="77777777" w:rsidR="002148E9" w:rsidRDefault="00000000">
      <w:r>
        <w:t>L’</w:t>
      </w:r>
      <w:r>
        <w:rPr>
          <w:b/>
          <w:bCs/>
        </w:rPr>
        <w:t>économie verte</w:t>
      </w:r>
      <w:r>
        <w:t xml:space="preserve"> doit devenir le </w:t>
      </w:r>
      <w:r>
        <w:rPr>
          <w:b/>
          <w:bCs/>
        </w:rPr>
        <w:t>fil conducteur</w:t>
      </w:r>
      <w:r>
        <w:t xml:space="preserve"> des réflexions territoriales. Une vision systémique, intégrant les bénéfices des </w:t>
      </w:r>
      <w:r>
        <w:rPr>
          <w:b/>
          <w:bCs/>
        </w:rPr>
        <w:t>services écosystémiques</w:t>
      </w:r>
      <w:r>
        <w:t xml:space="preserve">, pourrait inspirer des </w:t>
      </w:r>
      <w:r>
        <w:rPr>
          <w:b/>
          <w:bCs/>
        </w:rPr>
        <w:t>décisions politiques éclairées et responsables</w:t>
      </w:r>
      <w:r>
        <w:t xml:space="preserve">, assurant une transition </w:t>
      </w:r>
      <w:r>
        <w:rPr>
          <w:b/>
          <w:bCs/>
        </w:rPr>
        <w:t>juste et durable</w:t>
      </w:r>
      <w:r>
        <w:t xml:space="preserve"> pour les générations futures.</w:t>
      </w:r>
    </w:p>
    <w:p w14:paraId="366AFEE0" w14:textId="77777777" w:rsidR="002148E9" w:rsidRDefault="00000000">
      <w:pPr>
        <w:jc w:val="right"/>
      </w:pPr>
      <w:r>
        <w:t>Jean-Hugues Pointier</w:t>
      </w:r>
    </w:p>
    <w:sectPr w:rsidR="002148E9">
      <w:footerReference w:type="even" r:id="rId6"/>
      <w:footerReference w:type="default" r:id="rId7"/>
      <w:footerReference w:type="first" r:id="rId8"/>
      <w:pgSz w:w="11906" w:h="16838"/>
      <w:pgMar w:top="1021" w:right="1361" w:bottom="1134" w:left="1361" w:header="0"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F7A70" w14:textId="77777777" w:rsidR="00851ACC" w:rsidRDefault="00851ACC">
      <w:pPr>
        <w:spacing w:after="0" w:line="240" w:lineRule="auto"/>
      </w:pPr>
      <w:r>
        <w:separator/>
      </w:r>
    </w:p>
  </w:endnote>
  <w:endnote w:type="continuationSeparator" w:id="0">
    <w:p w14:paraId="12D1C366" w14:textId="77777777" w:rsidR="00851ACC" w:rsidRDefault="00851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69D6" w14:textId="77777777" w:rsidR="002148E9" w:rsidRDefault="002148E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5B5D" w14:textId="77777777" w:rsidR="002148E9" w:rsidRDefault="00000000">
    <w:pPr>
      <w:pStyle w:val="Pieddepage"/>
      <w:jc w:val="center"/>
    </w:pPr>
    <w:r>
      <w:rPr>
        <w:i/>
        <w:iCs/>
      </w:rPr>
      <w:t>Conseil de développement Territorial du Pays de Thiérache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7DCA" w14:textId="77777777" w:rsidR="002148E9" w:rsidRDefault="00000000">
    <w:pPr>
      <w:pStyle w:val="Pieddepage"/>
      <w:jc w:val="center"/>
    </w:pPr>
    <w:r>
      <w:rPr>
        <w:i/>
        <w:iCs/>
      </w:rPr>
      <w:t>Conseil de développement Territorial du Pays de Thiérache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09D8" w14:textId="77777777" w:rsidR="00851ACC" w:rsidRDefault="00851ACC">
      <w:pPr>
        <w:spacing w:after="0" w:line="240" w:lineRule="auto"/>
      </w:pPr>
      <w:r>
        <w:separator/>
      </w:r>
    </w:p>
  </w:footnote>
  <w:footnote w:type="continuationSeparator" w:id="0">
    <w:p w14:paraId="0D4F9A3A" w14:textId="77777777" w:rsidR="00851ACC" w:rsidRDefault="00851A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148E9"/>
    <w:rsid w:val="001C3596"/>
    <w:rsid w:val="002148E9"/>
    <w:rsid w:val="00851ACC"/>
    <w:rsid w:val="00FD08B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1203307"/>
  <w15:docId w15:val="{0668B230-0F21-437C-A061-BCF1C333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C83A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83A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83A1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83A1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83A1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83A1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83A1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83A1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83A1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C83A1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qFormat/>
    <w:rsid w:val="00C83A1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qFormat/>
    <w:rsid w:val="00C83A1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qFormat/>
    <w:rsid w:val="00C83A1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qFormat/>
    <w:rsid w:val="00C83A14"/>
    <w:rPr>
      <w:rFonts w:eastAsiaTheme="majorEastAsia" w:cstheme="majorBidi"/>
      <w:color w:val="2F5496" w:themeColor="accent1" w:themeShade="BF"/>
    </w:rPr>
  </w:style>
  <w:style w:type="character" w:customStyle="1" w:styleId="Titre6Car">
    <w:name w:val="Titre 6 Car"/>
    <w:basedOn w:val="Policepardfaut"/>
    <w:link w:val="Titre6"/>
    <w:uiPriority w:val="9"/>
    <w:semiHidden/>
    <w:qFormat/>
    <w:rsid w:val="00C83A1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C83A14"/>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C83A1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C83A14"/>
    <w:rPr>
      <w:rFonts w:eastAsiaTheme="majorEastAsia" w:cstheme="majorBidi"/>
      <w:color w:val="272727" w:themeColor="text1" w:themeTint="D8"/>
    </w:rPr>
  </w:style>
  <w:style w:type="character" w:customStyle="1" w:styleId="TitreCar">
    <w:name w:val="Titre Car"/>
    <w:basedOn w:val="Policepardfaut"/>
    <w:link w:val="Titre"/>
    <w:uiPriority w:val="10"/>
    <w:qFormat/>
    <w:rsid w:val="00C83A14"/>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C83A14"/>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C83A14"/>
    <w:rPr>
      <w:i/>
      <w:iCs/>
      <w:color w:val="404040" w:themeColor="text1" w:themeTint="BF"/>
    </w:rPr>
  </w:style>
  <w:style w:type="character" w:styleId="Accentuationintense">
    <w:name w:val="Intense Emphasis"/>
    <w:basedOn w:val="Policepardfaut"/>
    <w:uiPriority w:val="21"/>
    <w:qFormat/>
    <w:rsid w:val="00C83A14"/>
    <w:rPr>
      <w:i/>
      <w:iCs/>
      <w:color w:val="2F5496" w:themeColor="accent1" w:themeShade="BF"/>
    </w:rPr>
  </w:style>
  <w:style w:type="character" w:customStyle="1" w:styleId="CitationintenseCar">
    <w:name w:val="Citation intense Car"/>
    <w:basedOn w:val="Policepardfaut"/>
    <w:link w:val="Citationintense"/>
    <w:uiPriority w:val="30"/>
    <w:qFormat/>
    <w:rsid w:val="00C83A14"/>
    <w:rPr>
      <w:i/>
      <w:iCs/>
      <w:color w:val="2F5496" w:themeColor="accent1" w:themeShade="BF"/>
    </w:rPr>
  </w:style>
  <w:style w:type="character" w:styleId="Rfrenceintense">
    <w:name w:val="Intense Reference"/>
    <w:basedOn w:val="Policepardfaut"/>
    <w:uiPriority w:val="32"/>
    <w:qFormat/>
    <w:rsid w:val="00C83A14"/>
    <w:rPr>
      <w:b/>
      <w:bCs/>
      <w:smallCaps/>
      <w:color w:val="2F5496" w:themeColor="accent1" w:themeShade="BF"/>
      <w:spacing w:val="5"/>
    </w:rPr>
  </w:style>
  <w:style w:type="character" w:customStyle="1" w:styleId="SansinterligneCar">
    <w:name w:val="Sans interligne Car"/>
    <w:basedOn w:val="Policepardfaut"/>
    <w:link w:val="Sansinterligne"/>
    <w:uiPriority w:val="1"/>
    <w:qFormat/>
    <w:rsid w:val="00A45507"/>
    <w:rPr>
      <w:rFonts w:eastAsiaTheme="minorEastAsia"/>
      <w:kern w:val="0"/>
      <w:sz w:val="22"/>
      <w:szCs w:val="22"/>
      <w:lang w:eastAsia="fr-FR"/>
    </w:rPr>
  </w:style>
  <w:style w:type="character" w:customStyle="1" w:styleId="En-tteCar">
    <w:name w:val="En-tête Car"/>
    <w:basedOn w:val="Policepardfaut"/>
    <w:link w:val="En-tte"/>
    <w:uiPriority w:val="99"/>
    <w:qFormat/>
    <w:rsid w:val="00B118C3"/>
  </w:style>
  <w:style w:type="character" w:customStyle="1" w:styleId="PieddepageCar">
    <w:name w:val="Pied de page Car"/>
    <w:basedOn w:val="Policepardfaut"/>
    <w:link w:val="Pieddepage"/>
    <w:uiPriority w:val="99"/>
    <w:qFormat/>
    <w:rsid w:val="00B118C3"/>
  </w:style>
  <w:style w:type="paragraph" w:styleId="Titre">
    <w:name w:val="Title"/>
    <w:basedOn w:val="Normal"/>
    <w:next w:val="Corpsdetexte"/>
    <w:link w:val="TitreCar"/>
    <w:uiPriority w:val="10"/>
    <w:qFormat/>
    <w:rsid w:val="00C83A14"/>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Sous-titre">
    <w:name w:val="Subtitle"/>
    <w:basedOn w:val="Normal"/>
    <w:next w:val="Normal"/>
    <w:link w:val="Sous-titreCar"/>
    <w:uiPriority w:val="11"/>
    <w:qFormat/>
    <w:rsid w:val="00C83A1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83A14"/>
    <w:pPr>
      <w:spacing w:before="160"/>
      <w:jc w:val="center"/>
    </w:pPr>
    <w:rPr>
      <w:i/>
      <w:iCs/>
      <w:color w:val="404040" w:themeColor="text1" w:themeTint="BF"/>
    </w:rPr>
  </w:style>
  <w:style w:type="paragraph" w:styleId="Paragraphedeliste">
    <w:name w:val="List Paragraph"/>
    <w:basedOn w:val="Normal"/>
    <w:uiPriority w:val="34"/>
    <w:qFormat/>
    <w:rsid w:val="00C83A14"/>
    <w:pPr>
      <w:ind w:left="720"/>
      <w:contextualSpacing/>
    </w:pPr>
  </w:style>
  <w:style w:type="paragraph" w:styleId="Citationintense">
    <w:name w:val="Intense Quote"/>
    <w:basedOn w:val="Normal"/>
    <w:next w:val="Normal"/>
    <w:link w:val="CitationintenseCar"/>
    <w:uiPriority w:val="30"/>
    <w:qFormat/>
    <w:rsid w:val="00C83A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Sansinterligne">
    <w:name w:val="No Spacing"/>
    <w:link w:val="SansinterligneCar"/>
    <w:uiPriority w:val="1"/>
    <w:qFormat/>
    <w:rsid w:val="00A45507"/>
    <w:rPr>
      <w:rFonts w:ascii="Calibri" w:eastAsiaTheme="minorEastAsia" w:hAnsi="Calibri"/>
      <w:kern w:val="0"/>
      <w:sz w:val="22"/>
      <w:szCs w:val="22"/>
      <w:lang w:eastAsia="fr-FR"/>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B118C3"/>
    <w:pPr>
      <w:tabs>
        <w:tab w:val="center" w:pos="4536"/>
        <w:tab w:val="right" w:pos="9072"/>
      </w:tabs>
      <w:spacing w:after="0" w:line="240" w:lineRule="auto"/>
    </w:pPr>
  </w:style>
  <w:style w:type="paragraph" w:styleId="Pieddepage">
    <w:name w:val="footer"/>
    <w:basedOn w:val="Normal"/>
    <w:link w:val="PieddepageCar"/>
    <w:uiPriority w:val="99"/>
    <w:unhideWhenUsed/>
    <w:rsid w:val="00B118C3"/>
    <w:pPr>
      <w:tabs>
        <w:tab w:val="center" w:pos="4536"/>
        <w:tab w:val="right" w:pos="9072"/>
      </w:tabs>
      <w:spacing w:after="0" w:line="240" w:lineRule="auto"/>
    </w:pPr>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5958</Characters>
  <Application>Microsoft Office Word</Application>
  <DocSecurity>0</DocSecurity>
  <Lines>49</Lines>
  <Paragraphs>14</Paragraphs>
  <ScaleCrop>false</ScaleCrop>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Hugues</dc:creator>
  <dc:description/>
  <cp:lastModifiedBy>Jean Hugues</cp:lastModifiedBy>
  <cp:revision>4</cp:revision>
  <cp:lastPrinted>2025-03-12T14:53:00Z</cp:lastPrinted>
  <dcterms:created xsi:type="dcterms:W3CDTF">2025-03-12T15:04:00Z</dcterms:created>
  <dcterms:modified xsi:type="dcterms:W3CDTF">2025-07-28T09:31:00Z</dcterms:modified>
  <dc:language>fr-FR</dc:language>
</cp:coreProperties>
</file>